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72FCF" w14:textId="6D27EFF1" w:rsidR="002207A7" w:rsidRPr="002532ED" w:rsidRDefault="00945422" w:rsidP="002532ED">
      <w:pPr>
        <w:spacing w:before="101" w:line="300" w:lineRule="auto"/>
        <w:ind w:right="2175"/>
        <w:rPr>
          <w:sz w:val="40"/>
        </w:rPr>
      </w:pPr>
      <w:r>
        <w:rPr>
          <w:color w:val="181717"/>
          <w:sz w:val="40"/>
          <w:u w:val="thick" w:color="201E1E"/>
        </w:rPr>
        <w:t>TOOLBOX TALK</w:t>
      </w:r>
      <w:r>
        <w:rPr>
          <w:color w:val="181717"/>
          <w:sz w:val="40"/>
        </w:rPr>
        <w:t xml:space="preserve"> </w:t>
      </w:r>
      <w:r w:rsidR="00915946" w:rsidRPr="00915946">
        <w:rPr>
          <w:color w:val="181717"/>
          <w:sz w:val="40"/>
          <w:u w:val="thick" w:color="201E1E"/>
        </w:rPr>
        <w:t>TRABAJANDO CON SILICA</w:t>
      </w:r>
    </w:p>
    <w:p w14:paraId="2D71F6E9" w14:textId="77777777" w:rsidR="002207A7" w:rsidRDefault="002207A7">
      <w:pPr>
        <w:pStyle w:val="BodyText"/>
        <w:spacing w:before="6"/>
        <w:rPr>
          <w:sz w:val="18"/>
        </w:rPr>
      </w:pPr>
    </w:p>
    <w:p w14:paraId="081A12E7" w14:textId="77777777" w:rsidR="00915946" w:rsidRPr="002532ED" w:rsidRDefault="00915946" w:rsidP="00915946">
      <w:pPr>
        <w:pStyle w:val="BodyText"/>
        <w:spacing w:before="7"/>
        <w:jc w:val="both"/>
        <w:rPr>
          <w:color w:val="181717"/>
        </w:rPr>
      </w:pPr>
      <w:r w:rsidRPr="002532ED">
        <w:rPr>
          <w:color w:val="181717"/>
        </w:rPr>
        <w:t>Introducción:</w:t>
      </w:r>
    </w:p>
    <w:p w14:paraId="6B53DB9E" w14:textId="77777777" w:rsidR="00915946" w:rsidRPr="002532ED" w:rsidRDefault="00915946" w:rsidP="00915946">
      <w:pPr>
        <w:pStyle w:val="BodyText"/>
        <w:spacing w:before="7"/>
        <w:jc w:val="both"/>
        <w:rPr>
          <w:color w:val="181717"/>
        </w:rPr>
      </w:pPr>
    </w:p>
    <w:p w14:paraId="0B1D22FB" w14:textId="77777777" w:rsidR="002207A7" w:rsidRPr="002532ED" w:rsidRDefault="00915946" w:rsidP="00915946">
      <w:pPr>
        <w:pStyle w:val="BodyText"/>
        <w:spacing w:before="7"/>
        <w:jc w:val="both"/>
        <w:rPr>
          <w:color w:val="181717"/>
        </w:rPr>
      </w:pPr>
      <w:r w:rsidRPr="002532ED">
        <w:rPr>
          <w:color w:val="181717"/>
        </w:rPr>
        <w:t>La sílice se encuentra en muchos minerales comunes en los sitios de construcción, como arena, granito, concreto, ladrillo y la mayoría de los otros tipos de roca. Cuando los trabajadores cortan, muelen, chorrean abrasivos, martillos neumáticos o realizan otras tareas que alteran estos materiales, el polvo que contiene sílice cristalina puede liberarse al aire. Los trabajadores que inhalan este polvo están en riesgo.</w:t>
      </w:r>
    </w:p>
    <w:p w14:paraId="1658FF28" w14:textId="64B2AC14" w:rsidR="00915946" w:rsidRDefault="003663AD" w:rsidP="00915946">
      <w:pPr>
        <w:pStyle w:val="BodyText"/>
        <w:spacing w:before="5" w:line="225" w:lineRule="auto"/>
        <w:ind w:right="726"/>
        <w:rPr>
          <w:sz w:val="20"/>
        </w:rPr>
      </w:pPr>
      <w:r>
        <w:rPr>
          <w:noProof/>
        </w:rPr>
        <mc:AlternateContent>
          <mc:Choice Requires="wps">
            <w:drawing>
              <wp:anchor distT="91440" distB="91440" distL="114300" distR="114300" simplePos="0" relativeHeight="251664384" behindDoc="0" locked="0" layoutInCell="0" allowOverlap="1" wp14:anchorId="4D17FE94" wp14:editId="54C6AB9E">
                <wp:simplePos x="0" y="0"/>
                <wp:positionH relativeFrom="margin">
                  <wp:posOffset>-123825</wp:posOffset>
                </wp:positionH>
                <wp:positionV relativeFrom="margin">
                  <wp:posOffset>2047875</wp:posOffset>
                </wp:positionV>
                <wp:extent cx="4924425" cy="186563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24425" cy="1865630"/>
                        </a:xfrm>
                        <a:prstGeom prst="rect">
                          <a:avLst/>
                        </a:prstGeom>
                        <a:solidFill>
                          <a:schemeClr val="bg1">
                            <a:lumMod val="100000"/>
                            <a:lumOff val="0"/>
                          </a:schemeClr>
                        </a:solidFill>
                        <a:ln w="19050">
                          <a:solidFill>
                            <a:schemeClr val="tx1">
                              <a:lumMod val="50000"/>
                              <a:lumOff val="50000"/>
                            </a:schemeClr>
                          </a:solidFill>
                          <a:miter lim="800000"/>
                          <a:headEnd/>
                          <a:tailEnd/>
                        </a:ln>
                        <a:effectLst>
                          <a:outerShdw dist="38100" dir="2700000" sx="100500" sy="100500" algn="tl" rotWithShape="0">
                            <a:srgbClr val="000000">
                              <a:alpha val="39999"/>
                            </a:srgbClr>
                          </a:outerShdw>
                        </a:effectLst>
                      </wps:spPr>
                      <wps:txbx>
                        <w:txbxContent>
                          <w:p w14:paraId="4DB5C1BA" w14:textId="548E2B82" w:rsidR="00915946" w:rsidRPr="002532ED" w:rsidRDefault="00915946" w:rsidP="002532ED">
                            <w:pPr>
                              <w:pStyle w:val="BodyText"/>
                              <w:rPr>
                                <w:color w:val="181717"/>
                              </w:rPr>
                            </w:pPr>
                            <w:r w:rsidRPr="00915946">
                              <w:rPr>
                                <w:color w:val="181717"/>
                              </w:rPr>
                              <w:t>La Administración de Seguridad y Salud Ocupacional (OSHA) ha emitido una Regla Final para ayudar a combatir el cáncer de pulmón, la silicosis, la enfermedad pulmonar obstructiva crónica y la enfermedad renal dentro de la fuerza laboral de los Estados Unidos al implementar una nueva sección al estándar de sílice que limita la exposición al polvo de sílice cristalino.</w:t>
                            </w:r>
                            <w:r w:rsidR="002532ED" w:rsidRPr="002532ED">
                              <w:rPr>
                                <w:color w:val="181717"/>
                              </w:rPr>
                              <w:t xml:space="preserve"> </w:t>
                            </w:r>
                            <w:r w:rsidR="002532ED" w:rsidRPr="00915946">
                              <w:rPr>
                                <w:color w:val="181717"/>
                              </w:rPr>
                              <w:t>23 de junio de 2017. Esto es cuando todos los empleadores de la construcción deben cumplir con la nueva norma de OSHA.</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4D17FE94" id="Rectangle 396" o:spid="_x0000_s1026" style="position:absolute;margin-left:-9.75pt;margin-top:161.25pt;width:387.75pt;height:146.9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" o:allowincell="f" fillcolor="white [3212]" strokecolor="gray [1629]" strokeweight="1.5pt">
                <v:shadow on="t" type="perspective" color="black" opacity="26213f" origin="-.5,-.5" offset=".74836mm,.74836mm" matrix="65864f,,,65864f"/>
                <v:textbox style="mso-fit-shape-to-text:t" inset="21.6pt,21.6pt,21.6pt,21.6pt">
                  <w:txbxContent>
                    <w:p w14:paraId="4DB5C1BA" w14:textId="548E2B82" w:rsidR="00915946" w:rsidRPr="002532ED" w:rsidRDefault="00915946" w:rsidP="002532ED">
                      <w:pPr>
                        <w:pStyle w:val="BodyText"/>
                        <w:rPr>
                          <w:color w:val="181717"/>
                        </w:rPr>
                      </w:pPr>
                      <w:r w:rsidRPr="00915946">
                        <w:rPr>
                          <w:color w:val="181717"/>
                        </w:rPr>
                        <w:t>La Administración de Seguridad y Salud Ocupacional (OSHA) ha emitido una Regla Final para ayudar a combatir el cáncer de pulmón, la silicosis, la enfermedad pulmonar obstructiva crónica y la enfermedad renal dentro de la fuerza laboral de los Estados Unidos al implementar una nueva sección al estándar de sílice que limita la exposición al polvo de sílice cristalino.</w:t>
                      </w:r>
                      <w:r w:rsidR="002532ED" w:rsidRPr="002532ED">
                        <w:rPr>
                          <w:color w:val="181717"/>
                        </w:rPr>
                        <w:t xml:space="preserve"> </w:t>
                      </w:r>
                      <w:r w:rsidR="002532ED" w:rsidRPr="00915946">
                        <w:rPr>
                          <w:color w:val="181717"/>
                        </w:rPr>
                        <w:t>23 de junio de 2017. Esto es cuando todos los empleadores de la construcción deben cumplir con la nueva norma de OSHA.</w:t>
                      </w:r>
                    </w:p>
                  </w:txbxContent>
                </v:textbox>
                <w10:wrap type="square" anchorx="margin" anchory="margin"/>
              </v:rect>
            </w:pict>
          </mc:Fallback>
        </mc:AlternateContent>
      </w:r>
    </w:p>
    <w:p w14:paraId="6F41566E" w14:textId="54D22C4B" w:rsidR="00915946" w:rsidRDefault="00915946" w:rsidP="00915946">
      <w:pPr>
        <w:pStyle w:val="BodyText"/>
        <w:spacing w:before="5" w:line="225" w:lineRule="auto"/>
        <w:ind w:right="726"/>
        <w:rPr>
          <w:color w:val="181717"/>
        </w:rPr>
      </w:pPr>
      <w:r>
        <w:rPr>
          <w:noProof/>
        </w:rPr>
        <w:drawing>
          <wp:anchor distT="0" distB="0" distL="0" distR="0" simplePos="0" relativeHeight="251661312" behindDoc="0" locked="0" layoutInCell="1" allowOverlap="1" wp14:anchorId="2C8E4870" wp14:editId="697DADE7">
            <wp:simplePos x="0" y="0"/>
            <wp:positionH relativeFrom="page">
              <wp:posOffset>5505450</wp:posOffset>
            </wp:positionH>
            <wp:positionV relativeFrom="paragraph">
              <wp:posOffset>109220</wp:posOffset>
            </wp:positionV>
            <wp:extent cx="2076450" cy="138049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5" cstate="print"/>
                    <a:stretch>
                      <a:fillRect/>
                    </a:stretch>
                  </pic:blipFill>
                  <pic:spPr>
                    <a:xfrm>
                      <a:off x="0" y="0"/>
                      <a:ext cx="2076450" cy="1380490"/>
                    </a:xfrm>
                    <a:prstGeom prst="rect">
                      <a:avLst/>
                    </a:prstGeom>
                  </pic:spPr>
                </pic:pic>
              </a:graphicData>
            </a:graphic>
            <wp14:sizeRelH relativeFrom="margin">
              <wp14:pctWidth>0</wp14:pctWidth>
            </wp14:sizeRelH>
            <wp14:sizeRelV relativeFrom="margin">
              <wp14:pctHeight>0</wp14:pctHeight>
            </wp14:sizeRelV>
          </wp:anchor>
        </w:drawing>
      </w:r>
    </w:p>
    <w:p w14:paraId="389D9CF1" w14:textId="77777777" w:rsidR="00915946" w:rsidRDefault="00915946">
      <w:pPr>
        <w:pStyle w:val="BodyText"/>
        <w:spacing w:before="5" w:line="225" w:lineRule="auto"/>
        <w:ind w:left="660" w:right="726"/>
        <w:rPr>
          <w:color w:val="181717"/>
        </w:rPr>
      </w:pPr>
    </w:p>
    <w:p w14:paraId="119AA172" w14:textId="77777777" w:rsidR="00915946" w:rsidRDefault="00915946">
      <w:pPr>
        <w:pStyle w:val="BodyText"/>
        <w:spacing w:before="5" w:line="225" w:lineRule="auto"/>
        <w:ind w:left="660" w:right="726"/>
        <w:rPr>
          <w:color w:val="181717"/>
        </w:rPr>
      </w:pPr>
    </w:p>
    <w:p w14:paraId="7430485C" w14:textId="77777777" w:rsidR="00915946" w:rsidRDefault="00915946">
      <w:pPr>
        <w:pStyle w:val="BodyText"/>
        <w:spacing w:before="5" w:line="225" w:lineRule="auto"/>
        <w:ind w:left="660" w:right="726"/>
        <w:rPr>
          <w:color w:val="181717"/>
        </w:rPr>
      </w:pPr>
    </w:p>
    <w:p w14:paraId="7B54E93B" w14:textId="77777777" w:rsidR="00915946" w:rsidRDefault="00915946">
      <w:pPr>
        <w:pStyle w:val="BodyText"/>
        <w:spacing w:before="5" w:line="225" w:lineRule="auto"/>
        <w:ind w:left="660" w:right="726"/>
        <w:rPr>
          <w:color w:val="181717"/>
        </w:rPr>
      </w:pPr>
    </w:p>
    <w:p w14:paraId="0384675C" w14:textId="77777777" w:rsidR="00915946" w:rsidRDefault="00915946">
      <w:pPr>
        <w:pStyle w:val="BodyText"/>
        <w:spacing w:before="5" w:line="225" w:lineRule="auto"/>
        <w:ind w:left="660" w:right="726"/>
        <w:rPr>
          <w:color w:val="181717"/>
        </w:rPr>
      </w:pPr>
    </w:p>
    <w:p w14:paraId="097DEFB2" w14:textId="77777777" w:rsidR="00915946" w:rsidRDefault="00915946">
      <w:pPr>
        <w:pStyle w:val="BodyText"/>
        <w:spacing w:before="5" w:line="225" w:lineRule="auto"/>
        <w:ind w:left="660" w:right="726"/>
        <w:rPr>
          <w:color w:val="181717"/>
        </w:rPr>
      </w:pPr>
    </w:p>
    <w:p w14:paraId="3F6126C7" w14:textId="77777777" w:rsidR="00915946" w:rsidRDefault="00915946">
      <w:pPr>
        <w:pStyle w:val="BodyText"/>
        <w:spacing w:before="5" w:line="225" w:lineRule="auto"/>
        <w:ind w:left="660" w:right="726"/>
        <w:rPr>
          <w:color w:val="181717"/>
        </w:rPr>
      </w:pPr>
    </w:p>
    <w:p w14:paraId="0D197318" w14:textId="77777777" w:rsidR="00915946" w:rsidRDefault="00915946">
      <w:pPr>
        <w:pStyle w:val="BodyText"/>
        <w:spacing w:before="5" w:line="225" w:lineRule="auto"/>
        <w:ind w:left="660" w:right="726"/>
        <w:rPr>
          <w:color w:val="181717"/>
        </w:rPr>
      </w:pPr>
    </w:p>
    <w:p w14:paraId="2461082F" w14:textId="77777777" w:rsidR="00915946" w:rsidRDefault="00915946">
      <w:pPr>
        <w:pStyle w:val="BodyText"/>
        <w:spacing w:before="5" w:line="225" w:lineRule="auto"/>
        <w:ind w:left="660" w:right="726"/>
        <w:rPr>
          <w:color w:val="181717"/>
        </w:rPr>
      </w:pPr>
    </w:p>
    <w:p w14:paraId="3983A9D9" w14:textId="77777777" w:rsidR="00915946" w:rsidRDefault="00915946">
      <w:pPr>
        <w:pStyle w:val="BodyText"/>
        <w:spacing w:before="5" w:line="225" w:lineRule="auto"/>
        <w:ind w:left="660" w:right="726"/>
        <w:rPr>
          <w:color w:val="181717"/>
        </w:rPr>
      </w:pPr>
    </w:p>
    <w:p w14:paraId="0B17BB35" w14:textId="77777777" w:rsidR="00915946" w:rsidRDefault="00915946">
      <w:pPr>
        <w:pStyle w:val="BodyText"/>
        <w:spacing w:before="5" w:line="225" w:lineRule="auto"/>
        <w:ind w:left="660" w:right="726"/>
        <w:rPr>
          <w:color w:val="181717"/>
        </w:rPr>
      </w:pPr>
    </w:p>
    <w:p w14:paraId="43326D47" w14:textId="77777777" w:rsidR="00915946" w:rsidRDefault="00915946">
      <w:pPr>
        <w:pStyle w:val="BodyText"/>
        <w:rPr>
          <w:sz w:val="26"/>
        </w:rPr>
      </w:pPr>
    </w:p>
    <w:p w14:paraId="0097070D" w14:textId="302CE8F6" w:rsidR="00915946" w:rsidRPr="002532ED" w:rsidRDefault="002532ED" w:rsidP="00915946">
      <w:pPr>
        <w:pStyle w:val="BodyText"/>
        <w:spacing w:before="231"/>
        <w:ind w:left="660"/>
        <w:rPr>
          <w:color w:val="181717"/>
        </w:rPr>
      </w:pPr>
      <w:r>
        <w:rPr>
          <w:color w:val="181717"/>
        </w:rPr>
        <w:br/>
      </w:r>
      <w:r w:rsidR="00915946" w:rsidRPr="002532ED">
        <w:rPr>
          <w:color w:val="181717"/>
        </w:rPr>
        <w:t>Requerimientos estándar:</w:t>
      </w:r>
    </w:p>
    <w:p w14:paraId="3CF6316C" w14:textId="77777777" w:rsidR="00915946" w:rsidRPr="002532ED" w:rsidRDefault="00915946" w:rsidP="00915946">
      <w:pPr>
        <w:pStyle w:val="BodyText"/>
        <w:spacing w:before="231"/>
        <w:ind w:left="660"/>
        <w:rPr>
          <w:color w:val="181717"/>
        </w:rPr>
      </w:pPr>
      <w:r w:rsidRPr="002532ED">
        <w:rPr>
          <w:color w:val="181717"/>
        </w:rPr>
        <w:t>El estándar de OSHA para el polvo de sílice cristalina requiere que los empleadores limiten la exposición de los trabajadores y</w:t>
      </w:r>
    </w:p>
    <w:p w14:paraId="74541E0D" w14:textId="08FE905D" w:rsidR="00915946" w:rsidRPr="002532ED" w:rsidRDefault="00915946" w:rsidP="002532ED">
      <w:pPr>
        <w:pStyle w:val="BodyText"/>
        <w:spacing w:before="231"/>
        <w:ind w:left="660"/>
        <w:rPr>
          <w:color w:val="181717"/>
        </w:rPr>
      </w:pPr>
      <w:r w:rsidRPr="002532ED">
        <w:rPr>
          <w:color w:val="181717"/>
        </w:rPr>
        <w:t>tomar medidas adicionales para garantizar la seguridad de su fuerza laboral. Debido a las nuevas actualizaciones, los empleadores pueden usar un método de control que se explica en la Tabla 1 (ver Tabla 1) del estándar de construcción, o pueden medir la exposición de los trabajadores de forma independiente y determinar aún más qué medidas de seguridad se tomarán.</w:t>
      </w:r>
      <w:r w:rsidR="002532ED">
        <w:rPr>
          <w:color w:val="181717"/>
        </w:rPr>
        <w:br/>
      </w:r>
    </w:p>
    <w:p w14:paraId="5A11C66B" w14:textId="77777777" w:rsidR="002207A7" w:rsidRDefault="00915946">
      <w:pPr>
        <w:pStyle w:val="BodyText"/>
        <w:spacing w:before="7"/>
        <w:rPr>
          <w:color w:val="181717"/>
        </w:rPr>
      </w:pPr>
      <w:r w:rsidRPr="00915946">
        <w:rPr>
          <w:color w:val="181717"/>
        </w:rPr>
        <w:t>Cualquiera que sea el método elegido, todos los empleadores de la construcción deben:</w:t>
      </w:r>
    </w:p>
    <w:p w14:paraId="76F5CDB6" w14:textId="77777777" w:rsidR="00915946" w:rsidRDefault="00915946">
      <w:pPr>
        <w:pStyle w:val="BodyText"/>
        <w:spacing w:before="7"/>
      </w:pPr>
    </w:p>
    <w:p w14:paraId="4EE1ACF6" w14:textId="77777777" w:rsidR="00915946" w:rsidRPr="00915946" w:rsidRDefault="00915946" w:rsidP="00915946">
      <w:pPr>
        <w:pStyle w:val="BodyText"/>
        <w:numPr>
          <w:ilvl w:val="0"/>
          <w:numId w:val="5"/>
        </w:numPr>
        <w:spacing w:before="11"/>
        <w:rPr>
          <w:color w:val="181717"/>
        </w:rPr>
      </w:pPr>
      <w:r w:rsidRPr="00915946">
        <w:rPr>
          <w:color w:val="181717"/>
        </w:rPr>
        <w:t>Establezca e implemente un plan de control de exposición por escrito que identifique las tareas que involucran exposición y los métodos utilizados para proteger a los trabajadores, incluidos los procedimientos para restringir el acceso a las áreas de trabajo donde pueden ocurrir altas exposiciones.</w:t>
      </w:r>
    </w:p>
    <w:p w14:paraId="42B53E4C" w14:textId="77777777" w:rsidR="00915946" w:rsidRPr="00915946" w:rsidRDefault="00915946" w:rsidP="00915946">
      <w:pPr>
        <w:pStyle w:val="BodyText"/>
        <w:spacing w:before="11"/>
        <w:rPr>
          <w:color w:val="181717"/>
        </w:rPr>
      </w:pPr>
    </w:p>
    <w:p w14:paraId="3E23B6C9" w14:textId="77777777" w:rsidR="00915946" w:rsidRPr="00915946" w:rsidRDefault="00915946" w:rsidP="00915946">
      <w:pPr>
        <w:pStyle w:val="BodyText"/>
        <w:numPr>
          <w:ilvl w:val="0"/>
          <w:numId w:val="4"/>
        </w:numPr>
        <w:spacing w:before="11"/>
        <w:rPr>
          <w:color w:val="181717"/>
        </w:rPr>
      </w:pPr>
      <w:r w:rsidRPr="00915946">
        <w:rPr>
          <w:color w:val="181717"/>
        </w:rPr>
        <w:t xml:space="preserve"> Designar a una persona competente para implementar el plan de control de exposición por escrito.</w:t>
      </w:r>
    </w:p>
    <w:p w14:paraId="7B281A4D" w14:textId="77777777" w:rsidR="00915946" w:rsidRDefault="00915946" w:rsidP="00915946">
      <w:pPr>
        <w:pStyle w:val="BodyText"/>
        <w:spacing w:before="11"/>
        <w:rPr>
          <w:color w:val="181717"/>
        </w:rPr>
      </w:pPr>
    </w:p>
    <w:p w14:paraId="4C8601A5" w14:textId="77777777" w:rsidR="002207A7" w:rsidRDefault="00915946" w:rsidP="00915946">
      <w:pPr>
        <w:pStyle w:val="BodyText"/>
        <w:numPr>
          <w:ilvl w:val="0"/>
          <w:numId w:val="5"/>
        </w:numPr>
        <w:spacing w:before="11"/>
        <w:rPr>
          <w:sz w:val="20"/>
        </w:rPr>
      </w:pPr>
      <w:r w:rsidRPr="00915946">
        <w:rPr>
          <w:color w:val="181717"/>
        </w:rPr>
        <w:t>Restrinja las prácticas de limpieza que exponen a los trabajadores a la sílice cuando hay alternativas viables disponibles.</w:t>
      </w:r>
    </w:p>
    <w:p w14:paraId="4BF9F294" w14:textId="77777777" w:rsidR="00915946" w:rsidRPr="00915946" w:rsidRDefault="00915946" w:rsidP="00915946">
      <w:pPr>
        <w:pStyle w:val="ListParagraph"/>
        <w:tabs>
          <w:tab w:val="left" w:pos="920"/>
        </w:tabs>
        <w:spacing w:line="225" w:lineRule="auto"/>
        <w:ind w:right="4821" w:firstLine="0"/>
      </w:pPr>
    </w:p>
    <w:p w14:paraId="4EDBF739" w14:textId="77777777" w:rsidR="00915946" w:rsidRPr="00915946" w:rsidRDefault="00945422" w:rsidP="00915946">
      <w:pPr>
        <w:pStyle w:val="ListParagraph"/>
        <w:numPr>
          <w:ilvl w:val="0"/>
          <w:numId w:val="3"/>
        </w:numPr>
        <w:tabs>
          <w:tab w:val="left" w:pos="920"/>
        </w:tabs>
        <w:spacing w:line="225" w:lineRule="auto"/>
        <w:ind w:right="4821"/>
      </w:pPr>
      <w:r>
        <w:rPr>
          <w:noProof/>
        </w:rPr>
        <w:drawing>
          <wp:anchor distT="0" distB="0" distL="0" distR="0" simplePos="0" relativeHeight="251662336" behindDoc="0" locked="0" layoutInCell="1" allowOverlap="1" wp14:anchorId="1585601F" wp14:editId="38C539A3">
            <wp:simplePos x="0" y="0"/>
            <wp:positionH relativeFrom="page">
              <wp:posOffset>4419600</wp:posOffset>
            </wp:positionH>
            <wp:positionV relativeFrom="paragraph">
              <wp:posOffset>46283</wp:posOffset>
            </wp:positionV>
            <wp:extent cx="2628900" cy="1600200"/>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6" cstate="print"/>
                    <a:stretch>
                      <a:fillRect/>
                    </a:stretch>
                  </pic:blipFill>
                  <pic:spPr>
                    <a:xfrm>
                      <a:off x="0" y="0"/>
                      <a:ext cx="2628900" cy="1600200"/>
                    </a:xfrm>
                    <a:prstGeom prst="rect">
                      <a:avLst/>
                    </a:prstGeom>
                  </pic:spPr>
                </pic:pic>
              </a:graphicData>
            </a:graphic>
          </wp:anchor>
        </w:drawing>
      </w:r>
      <w:r w:rsidR="00915946" w:rsidRPr="00915946">
        <w:t xml:space="preserve"> </w:t>
      </w:r>
      <w:r w:rsidR="00915946" w:rsidRPr="00915946">
        <w:rPr>
          <w:noProof/>
        </w:rPr>
        <w:t>Ofrecer exámenes médicos, incluidas radiografías de tórax y pruebas de función pulmonar, cada tres años para los trabajadores que están obligados por la norma a usar un respirado</w:t>
      </w:r>
      <w:r w:rsidR="00915946">
        <w:rPr>
          <w:noProof/>
        </w:rPr>
        <w:t>r durante 30 días o más por año</w:t>
      </w:r>
      <w:r>
        <w:rPr>
          <w:color w:val="181717"/>
          <w:spacing w:val="-13"/>
        </w:rPr>
        <w:t>.</w:t>
      </w:r>
    </w:p>
    <w:p w14:paraId="67A82F47" w14:textId="77777777" w:rsidR="00915946" w:rsidRPr="00915946" w:rsidRDefault="00915946" w:rsidP="00915946">
      <w:pPr>
        <w:pStyle w:val="ListParagraph"/>
        <w:tabs>
          <w:tab w:val="left" w:pos="920"/>
        </w:tabs>
        <w:spacing w:line="225" w:lineRule="auto"/>
        <w:ind w:right="4821" w:firstLine="0"/>
      </w:pPr>
    </w:p>
    <w:p w14:paraId="3A2AB460" w14:textId="77777777" w:rsidR="00915946" w:rsidRPr="00915946" w:rsidRDefault="00915946" w:rsidP="00915946">
      <w:pPr>
        <w:pStyle w:val="ListParagraph"/>
        <w:numPr>
          <w:ilvl w:val="0"/>
          <w:numId w:val="3"/>
        </w:numPr>
        <w:tabs>
          <w:tab w:val="left" w:pos="920"/>
        </w:tabs>
        <w:spacing w:line="225" w:lineRule="auto"/>
        <w:ind w:right="4821"/>
      </w:pPr>
      <w:r w:rsidRPr="00915946">
        <w:rPr>
          <w:color w:val="181717"/>
          <w:spacing w:val="-11"/>
        </w:rPr>
        <w:t xml:space="preserve">Capacitar a los trabajadores en operaciones de trabajo que resulten en exposición a sílice y formas de limitar la exposición. Por ejemplo; Use métodos húmedos cuando </w:t>
      </w:r>
      <w:r w:rsidRPr="00915946">
        <w:rPr>
          <w:color w:val="181717"/>
          <w:spacing w:val="-11"/>
        </w:rPr>
        <w:lastRenderedPageBreak/>
        <w:t>sea posible y si las condiciones lo permiten</w:t>
      </w:r>
    </w:p>
    <w:p w14:paraId="13568AD7" w14:textId="77777777" w:rsidR="00915946" w:rsidRPr="00915946" w:rsidRDefault="00915946" w:rsidP="00915946">
      <w:pPr>
        <w:pStyle w:val="ListParagraph"/>
        <w:rPr>
          <w:color w:val="181717"/>
          <w:spacing w:val="-4"/>
        </w:rPr>
      </w:pPr>
    </w:p>
    <w:p w14:paraId="7A1903EA" w14:textId="77777777" w:rsidR="002207A7" w:rsidRPr="00915946" w:rsidRDefault="00915946" w:rsidP="00915946">
      <w:pPr>
        <w:pStyle w:val="ListParagraph"/>
        <w:numPr>
          <w:ilvl w:val="0"/>
          <w:numId w:val="3"/>
        </w:numPr>
        <w:tabs>
          <w:tab w:val="left" w:pos="920"/>
        </w:tabs>
        <w:spacing w:line="225" w:lineRule="auto"/>
        <w:ind w:right="4821"/>
      </w:pPr>
      <w:r w:rsidRPr="00915946">
        <w:rPr>
          <w:color w:val="181717"/>
          <w:spacing w:val="-4"/>
        </w:rPr>
        <w:t>Mantenga registros de la exposición de los trabajadores a la sílice y los exámenes médicos.</w:t>
      </w:r>
    </w:p>
    <w:p w14:paraId="2CB80F7C" w14:textId="77777777" w:rsidR="002207A7" w:rsidRDefault="002207A7">
      <w:pPr>
        <w:pStyle w:val="BodyText"/>
        <w:spacing w:before="10"/>
        <w:rPr>
          <w:sz w:val="29"/>
        </w:rPr>
      </w:pPr>
    </w:p>
    <w:p w14:paraId="2C36DC0B" w14:textId="77777777" w:rsidR="002207A7" w:rsidRDefault="00915946" w:rsidP="00915946">
      <w:pPr>
        <w:pStyle w:val="BodyText"/>
        <w:spacing w:before="9"/>
        <w:ind w:firstLine="660"/>
        <w:rPr>
          <w:b/>
          <w:bCs/>
          <w:color w:val="181717"/>
        </w:rPr>
      </w:pPr>
      <w:r w:rsidRPr="00915946">
        <w:rPr>
          <w:b/>
          <w:bCs/>
          <w:color w:val="181717"/>
        </w:rPr>
        <w:t>¿Qué es la tabla 1?</w:t>
      </w:r>
    </w:p>
    <w:p w14:paraId="4FA45D39" w14:textId="77777777" w:rsidR="00915946" w:rsidRDefault="00915946" w:rsidP="00915946">
      <w:pPr>
        <w:pStyle w:val="BodyText"/>
        <w:spacing w:before="9"/>
        <w:ind w:firstLine="660"/>
        <w:rPr>
          <w:b/>
          <w:sz w:val="20"/>
        </w:rPr>
      </w:pPr>
    </w:p>
    <w:p w14:paraId="6F993BA1" w14:textId="77777777" w:rsidR="002207A7" w:rsidRDefault="00915946" w:rsidP="00915946">
      <w:pPr>
        <w:pStyle w:val="BodyText"/>
        <w:spacing w:before="6"/>
        <w:ind w:left="660" w:firstLine="60"/>
        <w:rPr>
          <w:color w:val="181717"/>
        </w:rPr>
      </w:pPr>
      <w:r w:rsidRPr="00915946">
        <w:rPr>
          <w:color w:val="181717"/>
        </w:rPr>
        <w:t>La Tabla 1 describe ciertos equipos / tareas de construcción y los compara con los métodos de control de polvo para que los empleadores sepan qué pasos deben tomarse para limitar la exposición de los empleados al polvo de sílice cristalina respirable. Las medidas de control de polvo enumeradas en la tabla incluyen métodos que se sabe que son efectivos, como usar agua para evitar que el polvo entre al aire o usar ventilación para capturar el polvo. Si bien los métodos enumerados en la tabla dan ejemplos de cómo reducir el polvo respirable, es posible que aún sea necesario utilizar respiradores.</w:t>
      </w:r>
    </w:p>
    <w:p w14:paraId="64918D37" w14:textId="77777777" w:rsidR="00915946" w:rsidRDefault="00915946" w:rsidP="00915946">
      <w:pPr>
        <w:pStyle w:val="BodyText"/>
        <w:spacing w:before="6"/>
        <w:ind w:left="660" w:firstLine="60"/>
      </w:pPr>
    </w:p>
    <w:tbl>
      <w:tblPr>
        <w:tblW w:w="0" w:type="auto"/>
        <w:tblInd w:w="1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8"/>
        <w:gridCol w:w="4230"/>
        <w:gridCol w:w="2340"/>
        <w:gridCol w:w="1890"/>
      </w:tblGrid>
      <w:tr w:rsidR="002207A7" w14:paraId="5E77B26E" w14:textId="77777777">
        <w:trPr>
          <w:trHeight w:val="921"/>
        </w:trPr>
        <w:tc>
          <w:tcPr>
            <w:tcW w:w="1988" w:type="dxa"/>
            <w:vMerge w:val="restart"/>
            <w:tcBorders>
              <w:left w:val="single" w:sz="6" w:space="0" w:color="000000"/>
            </w:tcBorders>
            <w:shd w:val="clear" w:color="auto" w:fill="E1E1E1"/>
          </w:tcPr>
          <w:p w14:paraId="3EE36F64" w14:textId="77777777" w:rsidR="002207A7" w:rsidRDefault="00945422">
            <w:pPr>
              <w:pStyle w:val="TableParagraph"/>
              <w:spacing w:before="9"/>
              <w:ind w:left="298"/>
              <w:rPr>
                <w:b/>
              </w:rPr>
            </w:pPr>
            <w:r>
              <w:rPr>
                <w:b/>
              </w:rPr>
              <w:t>Equipment /</w:t>
            </w:r>
            <w:r>
              <w:rPr>
                <w:b/>
                <w:spacing w:val="-22"/>
              </w:rPr>
              <w:t xml:space="preserve"> </w:t>
            </w:r>
            <w:r>
              <w:rPr>
                <w:b/>
                <w:spacing w:val="-6"/>
              </w:rPr>
              <w:t>Task</w:t>
            </w:r>
          </w:p>
        </w:tc>
        <w:tc>
          <w:tcPr>
            <w:tcW w:w="4230" w:type="dxa"/>
            <w:vMerge w:val="restart"/>
            <w:shd w:val="clear" w:color="auto" w:fill="E1E1E1"/>
          </w:tcPr>
          <w:p w14:paraId="36352532" w14:textId="77777777" w:rsidR="002207A7" w:rsidRDefault="00945422">
            <w:pPr>
              <w:pStyle w:val="TableParagraph"/>
              <w:spacing w:before="9" w:line="266" w:lineRule="auto"/>
              <w:ind w:left="293" w:right="95"/>
              <w:rPr>
                <w:b/>
              </w:rPr>
            </w:pPr>
            <w:r>
              <w:rPr>
                <w:b/>
              </w:rPr>
              <w:t>Engineering and Work Practice Control Methods</w:t>
            </w:r>
          </w:p>
        </w:tc>
        <w:tc>
          <w:tcPr>
            <w:tcW w:w="4230" w:type="dxa"/>
            <w:gridSpan w:val="2"/>
            <w:shd w:val="clear" w:color="auto" w:fill="E1E1E1"/>
          </w:tcPr>
          <w:p w14:paraId="2FE0CF26" w14:textId="77777777" w:rsidR="002207A7" w:rsidRDefault="00945422">
            <w:pPr>
              <w:pStyle w:val="TableParagraph"/>
              <w:spacing w:line="228" w:lineRule="auto"/>
              <w:ind w:left="91" w:right="590"/>
              <w:jc w:val="both"/>
              <w:rPr>
                <w:b/>
              </w:rPr>
            </w:pPr>
            <w:r>
              <w:rPr>
                <w:b/>
                <w:spacing w:val="-3"/>
              </w:rPr>
              <w:t xml:space="preserve">Required </w:t>
            </w:r>
            <w:r>
              <w:rPr>
                <w:b/>
              </w:rPr>
              <w:t xml:space="preserve">Respiratory </w:t>
            </w:r>
            <w:r>
              <w:rPr>
                <w:b/>
                <w:spacing w:val="-3"/>
              </w:rPr>
              <w:t xml:space="preserve">Protection </w:t>
            </w:r>
            <w:r>
              <w:rPr>
                <w:b/>
              </w:rPr>
              <w:t xml:space="preserve">and Minimum Assigned </w:t>
            </w:r>
            <w:r>
              <w:rPr>
                <w:b/>
                <w:spacing w:val="-3"/>
              </w:rPr>
              <w:t xml:space="preserve">Protection Factor </w:t>
            </w:r>
            <w:r>
              <w:rPr>
                <w:b/>
              </w:rPr>
              <w:t>(APF)</w:t>
            </w:r>
          </w:p>
        </w:tc>
      </w:tr>
      <w:tr w:rsidR="002207A7" w14:paraId="22420603" w14:textId="77777777">
        <w:trPr>
          <w:trHeight w:val="379"/>
        </w:trPr>
        <w:tc>
          <w:tcPr>
            <w:tcW w:w="1988" w:type="dxa"/>
            <w:vMerge/>
            <w:tcBorders>
              <w:top w:val="nil"/>
              <w:left w:val="single" w:sz="6" w:space="0" w:color="000000"/>
            </w:tcBorders>
            <w:shd w:val="clear" w:color="auto" w:fill="E1E1E1"/>
          </w:tcPr>
          <w:p w14:paraId="310506B2" w14:textId="77777777" w:rsidR="002207A7" w:rsidRDefault="002207A7">
            <w:pPr>
              <w:rPr>
                <w:sz w:val="2"/>
                <w:szCs w:val="2"/>
              </w:rPr>
            </w:pPr>
          </w:p>
        </w:tc>
        <w:tc>
          <w:tcPr>
            <w:tcW w:w="4230" w:type="dxa"/>
            <w:vMerge/>
            <w:tcBorders>
              <w:top w:val="nil"/>
            </w:tcBorders>
            <w:shd w:val="clear" w:color="auto" w:fill="E1E1E1"/>
          </w:tcPr>
          <w:p w14:paraId="28DEA140" w14:textId="77777777" w:rsidR="002207A7" w:rsidRDefault="002207A7">
            <w:pPr>
              <w:rPr>
                <w:sz w:val="2"/>
                <w:szCs w:val="2"/>
              </w:rPr>
            </w:pPr>
          </w:p>
        </w:tc>
        <w:tc>
          <w:tcPr>
            <w:tcW w:w="2340" w:type="dxa"/>
            <w:shd w:val="clear" w:color="auto" w:fill="E1E1E1"/>
          </w:tcPr>
          <w:p w14:paraId="7FDCCBC5" w14:textId="77777777" w:rsidR="002207A7" w:rsidRDefault="00945422">
            <w:pPr>
              <w:pStyle w:val="TableParagraph"/>
              <w:spacing w:before="9"/>
              <w:ind w:left="105"/>
              <w:rPr>
                <w:b/>
              </w:rPr>
            </w:pPr>
            <w:r>
              <w:rPr>
                <w:b/>
              </w:rPr>
              <w:t>≤ 4 hours /shift</w:t>
            </w:r>
          </w:p>
        </w:tc>
        <w:tc>
          <w:tcPr>
            <w:tcW w:w="1890" w:type="dxa"/>
            <w:shd w:val="clear" w:color="auto" w:fill="E1E1E1"/>
          </w:tcPr>
          <w:p w14:paraId="54823542" w14:textId="77777777" w:rsidR="002207A7" w:rsidRDefault="00945422">
            <w:pPr>
              <w:pStyle w:val="TableParagraph"/>
              <w:spacing w:before="9"/>
              <w:ind w:left="105"/>
              <w:rPr>
                <w:b/>
              </w:rPr>
            </w:pPr>
            <w:r>
              <w:rPr>
                <w:b/>
              </w:rPr>
              <w:t>&gt; 4 hours /shift</w:t>
            </w:r>
          </w:p>
        </w:tc>
      </w:tr>
      <w:tr w:rsidR="002207A7" w14:paraId="074086BF" w14:textId="77777777">
        <w:trPr>
          <w:trHeight w:val="2113"/>
        </w:trPr>
        <w:tc>
          <w:tcPr>
            <w:tcW w:w="1988" w:type="dxa"/>
            <w:tcBorders>
              <w:left w:val="single" w:sz="6" w:space="0" w:color="000000"/>
            </w:tcBorders>
          </w:tcPr>
          <w:p w14:paraId="59ED5D2E" w14:textId="77777777" w:rsidR="002207A7" w:rsidRDefault="00945422">
            <w:pPr>
              <w:pStyle w:val="TableParagraph"/>
              <w:spacing w:line="228" w:lineRule="auto"/>
              <w:ind w:left="106" w:right="591" w:hanging="4"/>
            </w:pPr>
            <w:r>
              <w:t>(i) Stationary masonry saws</w:t>
            </w:r>
          </w:p>
        </w:tc>
        <w:tc>
          <w:tcPr>
            <w:tcW w:w="4230" w:type="dxa"/>
          </w:tcPr>
          <w:p w14:paraId="021CA17B" w14:textId="77777777" w:rsidR="002207A7" w:rsidRDefault="00945422">
            <w:pPr>
              <w:pStyle w:val="TableParagraph"/>
              <w:spacing w:line="228" w:lineRule="auto"/>
              <w:ind w:left="73" w:right="538" w:firstLine="15"/>
              <w:jc w:val="both"/>
            </w:pPr>
            <w:r>
              <w:t>Use saw equipped with integrated water delivery system that continuously feeds water to the blade.</w:t>
            </w:r>
          </w:p>
          <w:p w14:paraId="1F6B9126" w14:textId="77777777" w:rsidR="002207A7" w:rsidRDefault="002207A7">
            <w:pPr>
              <w:pStyle w:val="TableParagraph"/>
              <w:spacing w:before="9"/>
              <w:rPr>
                <w:rFonts w:ascii="Trebuchet MS"/>
                <w:sz w:val="18"/>
              </w:rPr>
            </w:pPr>
          </w:p>
          <w:p w14:paraId="7CAC31C0" w14:textId="77777777" w:rsidR="002207A7" w:rsidRDefault="00945422">
            <w:pPr>
              <w:pStyle w:val="TableParagraph"/>
              <w:spacing w:before="1" w:line="228" w:lineRule="auto"/>
              <w:ind w:left="89" w:right="632"/>
            </w:pPr>
            <w:r>
              <w:t>Operate and maintain tool in accordance with manufacturer’s instructions to minimize dust emissions.</w:t>
            </w:r>
          </w:p>
        </w:tc>
        <w:tc>
          <w:tcPr>
            <w:tcW w:w="2340" w:type="dxa"/>
          </w:tcPr>
          <w:p w14:paraId="74FD8683" w14:textId="77777777" w:rsidR="002207A7" w:rsidRDefault="002207A7">
            <w:pPr>
              <w:pStyle w:val="TableParagraph"/>
              <w:spacing w:before="9"/>
              <w:rPr>
                <w:rFonts w:ascii="Trebuchet MS"/>
                <w:sz w:val="19"/>
              </w:rPr>
            </w:pPr>
          </w:p>
          <w:p w14:paraId="3D1E41DB" w14:textId="77777777" w:rsidR="002207A7" w:rsidRDefault="00945422">
            <w:pPr>
              <w:pStyle w:val="TableParagraph"/>
              <w:ind w:left="487"/>
            </w:pPr>
            <w:r>
              <w:t>None</w:t>
            </w:r>
          </w:p>
        </w:tc>
        <w:tc>
          <w:tcPr>
            <w:tcW w:w="1890" w:type="dxa"/>
          </w:tcPr>
          <w:p w14:paraId="4CD1488C" w14:textId="77777777" w:rsidR="002207A7" w:rsidRDefault="002207A7">
            <w:pPr>
              <w:pStyle w:val="TableParagraph"/>
              <w:spacing w:before="9"/>
              <w:rPr>
                <w:rFonts w:ascii="Trebuchet MS"/>
                <w:sz w:val="19"/>
              </w:rPr>
            </w:pPr>
          </w:p>
          <w:p w14:paraId="13D90279" w14:textId="77777777" w:rsidR="002207A7" w:rsidRDefault="00945422">
            <w:pPr>
              <w:pStyle w:val="TableParagraph"/>
              <w:ind w:left="489"/>
            </w:pPr>
            <w:r>
              <w:t>None</w:t>
            </w:r>
          </w:p>
        </w:tc>
      </w:tr>
      <w:tr w:rsidR="002207A7" w14:paraId="5B91F19E" w14:textId="77777777">
        <w:trPr>
          <w:trHeight w:val="960"/>
        </w:trPr>
        <w:tc>
          <w:tcPr>
            <w:tcW w:w="1988" w:type="dxa"/>
            <w:tcBorders>
              <w:left w:val="single" w:sz="6" w:space="0" w:color="000000"/>
              <w:bottom w:val="nil"/>
            </w:tcBorders>
          </w:tcPr>
          <w:p w14:paraId="517DF5FF" w14:textId="77777777" w:rsidR="002207A7" w:rsidRDefault="00945422">
            <w:pPr>
              <w:pStyle w:val="TableParagraph"/>
              <w:spacing w:before="6" w:line="220" w:lineRule="auto"/>
              <w:ind w:left="106" w:right="591" w:hanging="4"/>
            </w:pPr>
            <w:r>
              <w:t>(ii) Handheld power saws (any blade diameter)</w:t>
            </w:r>
          </w:p>
        </w:tc>
        <w:tc>
          <w:tcPr>
            <w:tcW w:w="4230" w:type="dxa"/>
            <w:tcBorders>
              <w:bottom w:val="nil"/>
            </w:tcBorders>
          </w:tcPr>
          <w:p w14:paraId="685322B5" w14:textId="77777777" w:rsidR="002207A7" w:rsidRDefault="00945422">
            <w:pPr>
              <w:pStyle w:val="TableParagraph"/>
              <w:spacing w:line="237" w:lineRule="auto"/>
              <w:ind w:left="89" w:right="537"/>
              <w:jc w:val="both"/>
            </w:pPr>
            <w:r>
              <w:t>Use saw equipped with integrated water delivery system that continuously feeds water to the blade.</w:t>
            </w:r>
          </w:p>
        </w:tc>
        <w:tc>
          <w:tcPr>
            <w:tcW w:w="2340" w:type="dxa"/>
            <w:tcBorders>
              <w:bottom w:val="nil"/>
            </w:tcBorders>
          </w:tcPr>
          <w:p w14:paraId="5867693F" w14:textId="77777777" w:rsidR="002207A7" w:rsidRDefault="002207A7">
            <w:pPr>
              <w:pStyle w:val="TableParagraph"/>
            </w:pPr>
          </w:p>
        </w:tc>
        <w:tc>
          <w:tcPr>
            <w:tcW w:w="1890" w:type="dxa"/>
            <w:tcBorders>
              <w:bottom w:val="nil"/>
            </w:tcBorders>
          </w:tcPr>
          <w:p w14:paraId="123D7A85" w14:textId="77777777" w:rsidR="002207A7" w:rsidRDefault="002207A7">
            <w:pPr>
              <w:pStyle w:val="TableParagraph"/>
            </w:pPr>
          </w:p>
        </w:tc>
      </w:tr>
      <w:tr w:rsidR="002207A7" w14:paraId="5DE827A6" w14:textId="77777777">
        <w:trPr>
          <w:trHeight w:val="1080"/>
        </w:trPr>
        <w:tc>
          <w:tcPr>
            <w:tcW w:w="1988" w:type="dxa"/>
            <w:tcBorders>
              <w:top w:val="nil"/>
              <w:left w:val="single" w:sz="6" w:space="0" w:color="000000"/>
              <w:bottom w:val="nil"/>
            </w:tcBorders>
          </w:tcPr>
          <w:p w14:paraId="08EF282C" w14:textId="77777777" w:rsidR="002207A7" w:rsidRDefault="002207A7">
            <w:pPr>
              <w:pStyle w:val="TableParagraph"/>
            </w:pPr>
          </w:p>
        </w:tc>
        <w:tc>
          <w:tcPr>
            <w:tcW w:w="4230" w:type="dxa"/>
            <w:tcBorders>
              <w:top w:val="nil"/>
              <w:bottom w:val="nil"/>
            </w:tcBorders>
          </w:tcPr>
          <w:p w14:paraId="59E4D76E" w14:textId="77777777" w:rsidR="002207A7" w:rsidRDefault="00945422">
            <w:pPr>
              <w:pStyle w:val="TableParagraph"/>
              <w:spacing w:before="19" w:line="228" w:lineRule="auto"/>
              <w:ind w:left="89" w:right="632"/>
            </w:pPr>
            <w:r>
              <w:t>Operate and maintain tool in accordance with manufacturer’s instructions to minimize dust emissions.</w:t>
            </w:r>
          </w:p>
        </w:tc>
        <w:tc>
          <w:tcPr>
            <w:tcW w:w="2340" w:type="dxa"/>
            <w:tcBorders>
              <w:top w:val="nil"/>
              <w:bottom w:val="nil"/>
            </w:tcBorders>
          </w:tcPr>
          <w:p w14:paraId="3B2980AF" w14:textId="77777777" w:rsidR="002207A7" w:rsidRDefault="002207A7">
            <w:pPr>
              <w:pStyle w:val="TableParagraph"/>
            </w:pPr>
          </w:p>
        </w:tc>
        <w:tc>
          <w:tcPr>
            <w:tcW w:w="1890" w:type="dxa"/>
            <w:tcBorders>
              <w:top w:val="nil"/>
              <w:bottom w:val="nil"/>
            </w:tcBorders>
          </w:tcPr>
          <w:p w14:paraId="423A9EBA" w14:textId="77777777" w:rsidR="002207A7" w:rsidRDefault="002207A7">
            <w:pPr>
              <w:pStyle w:val="TableParagraph"/>
            </w:pPr>
          </w:p>
        </w:tc>
      </w:tr>
      <w:tr w:rsidR="002207A7" w14:paraId="62A0E4EB" w14:textId="77777777">
        <w:trPr>
          <w:trHeight w:val="470"/>
        </w:trPr>
        <w:tc>
          <w:tcPr>
            <w:tcW w:w="1988" w:type="dxa"/>
            <w:tcBorders>
              <w:top w:val="nil"/>
              <w:left w:val="single" w:sz="6" w:space="0" w:color="000000"/>
              <w:bottom w:val="nil"/>
            </w:tcBorders>
          </w:tcPr>
          <w:p w14:paraId="2E460298" w14:textId="77777777" w:rsidR="002207A7" w:rsidRDefault="002207A7">
            <w:pPr>
              <w:pStyle w:val="TableParagraph"/>
            </w:pPr>
          </w:p>
        </w:tc>
        <w:tc>
          <w:tcPr>
            <w:tcW w:w="4230" w:type="dxa"/>
            <w:tcBorders>
              <w:top w:val="nil"/>
              <w:bottom w:val="nil"/>
            </w:tcBorders>
          </w:tcPr>
          <w:p w14:paraId="4EDE3B4A" w14:textId="77777777" w:rsidR="002207A7" w:rsidRDefault="00945422">
            <w:pPr>
              <w:pStyle w:val="TableParagraph"/>
              <w:numPr>
                <w:ilvl w:val="0"/>
                <w:numId w:val="2"/>
              </w:numPr>
              <w:tabs>
                <w:tab w:val="left" w:pos="450"/>
                <w:tab w:val="left" w:pos="451"/>
              </w:tabs>
              <w:spacing w:before="53"/>
              <w:ind w:hanging="361"/>
            </w:pPr>
            <w:r>
              <w:t>When used</w:t>
            </w:r>
            <w:r>
              <w:rPr>
                <w:spacing w:val="-24"/>
              </w:rPr>
              <w:t xml:space="preserve"> </w:t>
            </w:r>
            <w:r>
              <w:t>outdoors.</w:t>
            </w:r>
          </w:p>
        </w:tc>
        <w:tc>
          <w:tcPr>
            <w:tcW w:w="2340" w:type="dxa"/>
            <w:tcBorders>
              <w:top w:val="nil"/>
              <w:bottom w:val="nil"/>
            </w:tcBorders>
          </w:tcPr>
          <w:p w14:paraId="3E9556F5" w14:textId="77777777" w:rsidR="002207A7" w:rsidRDefault="00945422">
            <w:pPr>
              <w:pStyle w:val="TableParagraph"/>
              <w:spacing w:before="89"/>
              <w:ind w:left="319"/>
            </w:pPr>
            <w:r>
              <w:t>None</w:t>
            </w:r>
          </w:p>
        </w:tc>
        <w:tc>
          <w:tcPr>
            <w:tcW w:w="1890" w:type="dxa"/>
            <w:tcBorders>
              <w:top w:val="nil"/>
              <w:bottom w:val="nil"/>
            </w:tcBorders>
          </w:tcPr>
          <w:p w14:paraId="0235BD04" w14:textId="77777777" w:rsidR="002207A7" w:rsidRDefault="00945422">
            <w:pPr>
              <w:pStyle w:val="TableParagraph"/>
              <w:spacing w:before="89"/>
              <w:ind w:left="319"/>
            </w:pPr>
            <w:r>
              <w:t>APF 10</w:t>
            </w:r>
          </w:p>
        </w:tc>
      </w:tr>
      <w:tr w:rsidR="002207A7" w14:paraId="389544E7" w14:textId="77777777">
        <w:trPr>
          <w:trHeight w:val="808"/>
        </w:trPr>
        <w:tc>
          <w:tcPr>
            <w:tcW w:w="1988" w:type="dxa"/>
            <w:tcBorders>
              <w:top w:val="nil"/>
              <w:left w:val="single" w:sz="6" w:space="0" w:color="000000"/>
            </w:tcBorders>
          </w:tcPr>
          <w:p w14:paraId="517AFA7E" w14:textId="77777777" w:rsidR="002207A7" w:rsidRDefault="002207A7">
            <w:pPr>
              <w:pStyle w:val="TableParagraph"/>
            </w:pPr>
          </w:p>
        </w:tc>
        <w:tc>
          <w:tcPr>
            <w:tcW w:w="4230" w:type="dxa"/>
            <w:tcBorders>
              <w:top w:val="nil"/>
            </w:tcBorders>
          </w:tcPr>
          <w:p w14:paraId="75E88C8F" w14:textId="77777777" w:rsidR="002207A7" w:rsidRDefault="00945422">
            <w:pPr>
              <w:pStyle w:val="TableParagraph"/>
              <w:numPr>
                <w:ilvl w:val="0"/>
                <w:numId w:val="1"/>
              </w:numPr>
              <w:tabs>
                <w:tab w:val="left" w:pos="450"/>
                <w:tab w:val="left" w:pos="451"/>
              </w:tabs>
              <w:spacing w:before="63"/>
              <w:ind w:hanging="361"/>
            </w:pPr>
            <w:r>
              <w:t>When</w:t>
            </w:r>
            <w:r>
              <w:rPr>
                <w:spacing w:val="-12"/>
              </w:rPr>
              <w:t xml:space="preserve"> </w:t>
            </w:r>
            <w:r>
              <w:t>used</w:t>
            </w:r>
            <w:r>
              <w:rPr>
                <w:spacing w:val="-12"/>
              </w:rPr>
              <w:t xml:space="preserve"> </w:t>
            </w:r>
            <w:r>
              <w:t>indoors</w:t>
            </w:r>
            <w:r>
              <w:rPr>
                <w:spacing w:val="-13"/>
              </w:rPr>
              <w:t xml:space="preserve"> </w:t>
            </w:r>
            <w:r>
              <w:t>or</w:t>
            </w:r>
            <w:r>
              <w:rPr>
                <w:spacing w:val="-10"/>
              </w:rPr>
              <w:t xml:space="preserve"> </w:t>
            </w:r>
            <w:r>
              <w:t>in</w:t>
            </w:r>
            <w:r>
              <w:rPr>
                <w:spacing w:val="-10"/>
              </w:rPr>
              <w:t xml:space="preserve"> </w:t>
            </w:r>
            <w:r>
              <w:t>an</w:t>
            </w:r>
            <w:r>
              <w:rPr>
                <w:spacing w:val="-11"/>
              </w:rPr>
              <w:t xml:space="preserve"> </w:t>
            </w:r>
            <w:r>
              <w:t>enclosed</w:t>
            </w:r>
            <w:r>
              <w:rPr>
                <w:spacing w:val="12"/>
              </w:rPr>
              <w:t xml:space="preserve"> </w:t>
            </w:r>
            <w:r>
              <w:t>area.</w:t>
            </w:r>
          </w:p>
        </w:tc>
        <w:tc>
          <w:tcPr>
            <w:tcW w:w="2340" w:type="dxa"/>
            <w:tcBorders>
              <w:top w:val="nil"/>
            </w:tcBorders>
          </w:tcPr>
          <w:p w14:paraId="75655384" w14:textId="77777777" w:rsidR="002207A7" w:rsidRDefault="00945422">
            <w:pPr>
              <w:pStyle w:val="TableParagraph"/>
              <w:spacing w:before="99"/>
              <w:ind w:left="301"/>
            </w:pPr>
            <w:r>
              <w:t>APF 10</w:t>
            </w:r>
          </w:p>
        </w:tc>
        <w:tc>
          <w:tcPr>
            <w:tcW w:w="1890" w:type="dxa"/>
            <w:tcBorders>
              <w:top w:val="nil"/>
            </w:tcBorders>
          </w:tcPr>
          <w:p w14:paraId="4B41DBAC" w14:textId="77777777" w:rsidR="002207A7" w:rsidRDefault="00945422">
            <w:pPr>
              <w:pStyle w:val="TableParagraph"/>
              <w:spacing w:before="99"/>
              <w:ind w:left="350"/>
            </w:pPr>
            <w:r>
              <w:t>APF 10</w:t>
            </w:r>
          </w:p>
        </w:tc>
      </w:tr>
    </w:tbl>
    <w:p w14:paraId="51812F94" w14:textId="77777777" w:rsidR="002207A7" w:rsidRDefault="002207A7">
      <w:pPr>
        <w:pStyle w:val="BodyText"/>
        <w:spacing w:before="3"/>
        <w:rPr>
          <w:sz w:val="26"/>
        </w:rPr>
      </w:pPr>
    </w:p>
    <w:p w14:paraId="640B1C8D" w14:textId="77777777" w:rsidR="00915946" w:rsidRPr="00915946" w:rsidRDefault="00915946" w:rsidP="00915946">
      <w:pPr>
        <w:pStyle w:val="BodyText"/>
        <w:ind w:firstLine="720"/>
        <w:rPr>
          <w:b/>
          <w:bCs/>
        </w:rPr>
      </w:pPr>
      <w:r w:rsidRPr="00915946">
        <w:rPr>
          <w:b/>
          <w:bCs/>
        </w:rPr>
        <w:t>Ejemplos de la tabla 1:</w:t>
      </w:r>
    </w:p>
    <w:p w14:paraId="19533A9F" w14:textId="77777777" w:rsidR="00915946" w:rsidRPr="00915946" w:rsidRDefault="00915946" w:rsidP="00915946">
      <w:pPr>
        <w:pStyle w:val="BodyText"/>
        <w:rPr>
          <w:b/>
          <w:bCs/>
        </w:rPr>
      </w:pPr>
    </w:p>
    <w:p w14:paraId="28FCA0BB" w14:textId="77777777" w:rsidR="00915946" w:rsidRPr="00915946" w:rsidRDefault="00915946" w:rsidP="00915946">
      <w:pPr>
        <w:pStyle w:val="BodyText"/>
        <w:ind w:firstLine="720"/>
        <w:rPr>
          <w:b/>
          <w:bCs/>
        </w:rPr>
      </w:pPr>
      <w:r w:rsidRPr="00915946">
        <w:rPr>
          <w:b/>
          <w:bCs/>
        </w:rPr>
        <w:t>Medidas de control alternativas a la Tabla 1:</w:t>
      </w:r>
    </w:p>
    <w:p w14:paraId="7EAEFDE5" w14:textId="77777777" w:rsidR="00915946" w:rsidRPr="00915946" w:rsidRDefault="00915946" w:rsidP="00915946">
      <w:pPr>
        <w:pStyle w:val="BodyText"/>
        <w:ind w:firstLine="720"/>
        <w:rPr>
          <w:b/>
          <w:bCs/>
        </w:rPr>
      </w:pPr>
      <w:r w:rsidRPr="00915946">
        <w:rPr>
          <w:b/>
          <w:bCs/>
        </w:rPr>
        <w:t>Los empleadores que no utilizan la Tabla 1 deben:</w:t>
      </w:r>
    </w:p>
    <w:p w14:paraId="1A4F43D6" w14:textId="77777777" w:rsidR="00915946" w:rsidRPr="00915946" w:rsidRDefault="00915946" w:rsidP="00915946">
      <w:pPr>
        <w:pStyle w:val="BodyText"/>
        <w:rPr>
          <w:b/>
          <w:bCs/>
        </w:rPr>
      </w:pPr>
    </w:p>
    <w:p w14:paraId="6DEA3624" w14:textId="77777777" w:rsidR="00915946" w:rsidRDefault="00915946" w:rsidP="00915946">
      <w:pPr>
        <w:pStyle w:val="BodyText"/>
        <w:numPr>
          <w:ilvl w:val="0"/>
          <w:numId w:val="3"/>
        </w:numPr>
        <w:rPr>
          <w:b/>
          <w:bCs/>
        </w:rPr>
      </w:pPr>
      <w:r w:rsidRPr="00915946">
        <w:rPr>
          <w:b/>
          <w:bCs/>
        </w:rPr>
        <w:t xml:space="preserve"> Mida la cantidad de sílice a la que están expuestos los trabajadores si puede ser igual o superior a un nivel de acción de 25 µg / m3 (microgramos de sílice por metro cúbico de aire), como promedio durante un día de ocho horas.</w:t>
      </w:r>
    </w:p>
    <w:p w14:paraId="4D2BF545" w14:textId="77777777" w:rsidR="00915946" w:rsidRDefault="00915946" w:rsidP="00915946">
      <w:pPr>
        <w:pStyle w:val="BodyText"/>
        <w:ind w:left="920"/>
        <w:rPr>
          <w:b/>
          <w:bCs/>
        </w:rPr>
      </w:pPr>
    </w:p>
    <w:p w14:paraId="2A6D2B03" w14:textId="77777777" w:rsidR="00915946" w:rsidRDefault="00915946" w:rsidP="00915946">
      <w:pPr>
        <w:pStyle w:val="BodyText"/>
        <w:numPr>
          <w:ilvl w:val="0"/>
          <w:numId w:val="3"/>
        </w:numPr>
        <w:rPr>
          <w:b/>
          <w:bCs/>
        </w:rPr>
      </w:pPr>
      <w:r w:rsidRPr="00915946">
        <w:rPr>
          <w:b/>
          <w:bCs/>
        </w:rPr>
        <w:t>Proteja a los trabajadores de exposiciones respirables de sílice cristalina por encima del límite de exposición permisible PEL de 50 µg / m3, promediado durante un día de ocho horas.</w:t>
      </w:r>
    </w:p>
    <w:p w14:paraId="3917EEDA" w14:textId="77777777" w:rsidR="00915946" w:rsidRDefault="00915946" w:rsidP="00915946">
      <w:pPr>
        <w:pStyle w:val="ListParagraph"/>
        <w:rPr>
          <w:b/>
          <w:bCs/>
        </w:rPr>
      </w:pPr>
    </w:p>
    <w:p w14:paraId="6632F616" w14:textId="77777777" w:rsidR="00915946" w:rsidRDefault="00915946" w:rsidP="00915946">
      <w:pPr>
        <w:pStyle w:val="BodyText"/>
        <w:numPr>
          <w:ilvl w:val="0"/>
          <w:numId w:val="3"/>
        </w:numPr>
        <w:rPr>
          <w:b/>
          <w:bCs/>
        </w:rPr>
      </w:pPr>
      <w:r w:rsidRPr="00915946">
        <w:rPr>
          <w:b/>
          <w:bCs/>
        </w:rPr>
        <w:lastRenderedPageBreak/>
        <w:t>Use controles de polvo para proteger a los trabajadores de exposiciones a sílice por encima del PEL.</w:t>
      </w:r>
    </w:p>
    <w:p w14:paraId="4C17A27A" w14:textId="77777777" w:rsidR="00915946" w:rsidRDefault="00915946" w:rsidP="00915946">
      <w:pPr>
        <w:pStyle w:val="ListParagraph"/>
        <w:rPr>
          <w:b/>
          <w:bCs/>
        </w:rPr>
      </w:pPr>
    </w:p>
    <w:p w14:paraId="41C0FF28" w14:textId="77777777" w:rsidR="002207A7" w:rsidRPr="00915946" w:rsidRDefault="00915946" w:rsidP="00915946">
      <w:pPr>
        <w:pStyle w:val="BodyText"/>
        <w:numPr>
          <w:ilvl w:val="0"/>
          <w:numId w:val="3"/>
        </w:numPr>
        <w:rPr>
          <w:b/>
          <w:bCs/>
        </w:rPr>
      </w:pPr>
      <w:r w:rsidRPr="00915946">
        <w:rPr>
          <w:b/>
          <w:bCs/>
        </w:rPr>
        <w:t>Proporcione respiradores a los trabajadores cuando los controles de polvo no puedan limitar la exposición al PEL.</w:t>
      </w:r>
    </w:p>
    <w:p w14:paraId="24097D65" w14:textId="77777777" w:rsidR="002207A7" w:rsidRDefault="002207A7">
      <w:pPr>
        <w:pStyle w:val="BodyText"/>
        <w:rPr>
          <w:sz w:val="20"/>
        </w:rPr>
      </w:pPr>
    </w:p>
    <w:p w14:paraId="1B1C59B2" w14:textId="77777777" w:rsidR="002207A7" w:rsidRDefault="002207A7">
      <w:pPr>
        <w:pStyle w:val="BodyText"/>
        <w:spacing w:before="6"/>
        <w:rPr>
          <w:sz w:val="18"/>
        </w:rPr>
      </w:pPr>
    </w:p>
    <w:p w14:paraId="29A9B883" w14:textId="7782D9C9" w:rsidR="002207A7" w:rsidRDefault="003663AD">
      <w:pPr>
        <w:pStyle w:val="BodyText"/>
        <w:ind w:left="630"/>
        <w:rPr>
          <w:sz w:val="20"/>
        </w:rPr>
      </w:pPr>
      <w:r>
        <w:rPr>
          <w:noProof/>
          <w:sz w:val="20"/>
        </w:rPr>
        <mc:AlternateContent>
          <mc:Choice Requires="wps">
            <w:drawing>
              <wp:inline distT="0" distB="0" distL="0" distR="0" wp14:anchorId="0140FAC9" wp14:editId="76781321">
                <wp:extent cx="6076950" cy="1463675"/>
                <wp:effectExtent l="9525" t="7620" r="9525" b="508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63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6A70B" w14:textId="77777777" w:rsidR="002207A7" w:rsidRDefault="00915946">
                            <w:pPr>
                              <w:spacing w:before="26" w:line="261" w:lineRule="auto"/>
                              <w:ind w:left="740" w:right="29"/>
                              <w:rPr>
                                <w:rFonts w:ascii="Times New Roman"/>
                                <w:sz w:val="24"/>
                              </w:rPr>
                            </w:pPr>
                            <w:r w:rsidRPr="00915946">
                              <w:rPr>
                                <w:rFonts w:ascii="Times New Roman"/>
                                <w:sz w:val="24"/>
                              </w:rPr>
                              <w:t>Seg</w:t>
                            </w:r>
                            <w:r w:rsidRPr="00915946">
                              <w:rPr>
                                <w:rFonts w:ascii="Times New Roman"/>
                                <w:sz w:val="24"/>
                              </w:rPr>
                              <w:t>ú</w:t>
                            </w:r>
                            <w:r w:rsidRPr="00915946">
                              <w:rPr>
                                <w:rFonts w:ascii="Times New Roman"/>
                                <w:sz w:val="24"/>
                              </w:rPr>
                              <w:t>n la Ley de Seguridad y Salud Ocupacional, los empleadores son responsables de proporcionar un lugar de trabajo seguro y saludable y los trabajadores tienen derechos. OSHA puede ayudar a responder preguntas o inquietudes de empleadores y trabajadores. P</w:t>
                            </w:r>
                            <w:r w:rsidRPr="00915946">
                              <w:rPr>
                                <w:rFonts w:ascii="Times New Roman"/>
                                <w:sz w:val="24"/>
                              </w:rPr>
                              <w:t>ó</w:t>
                            </w:r>
                            <w:r w:rsidRPr="00915946">
                              <w:rPr>
                                <w:rFonts w:ascii="Times New Roman"/>
                                <w:sz w:val="24"/>
                              </w:rPr>
                              <w:t>ngase en contacto con su oficina regional o local de OSHA o llame al 1-800-321-OSHA (6742). OSHA tambi</w:t>
                            </w:r>
                            <w:r w:rsidRPr="00915946">
                              <w:rPr>
                                <w:rFonts w:ascii="Times New Roman"/>
                                <w:sz w:val="24"/>
                              </w:rPr>
                              <w:t>é</w:t>
                            </w:r>
                            <w:r w:rsidRPr="00915946">
                              <w:rPr>
                                <w:rFonts w:ascii="Times New Roman"/>
                                <w:sz w:val="24"/>
                              </w:rPr>
                              <w:t>n brinda ayuda a los empleadores. El Programa de consultas en el sitio de OSHA ofrece asesoramiento gratuito y confidencial a las peque</w:t>
                            </w:r>
                            <w:r w:rsidRPr="00915946">
                              <w:rPr>
                                <w:rFonts w:ascii="Times New Roman"/>
                                <w:sz w:val="24"/>
                              </w:rPr>
                              <w:t>ñ</w:t>
                            </w:r>
                            <w:r w:rsidRPr="00915946">
                              <w:rPr>
                                <w:rFonts w:ascii="Times New Roman"/>
                                <w:sz w:val="24"/>
                              </w:rPr>
                              <w:t>as y medianas empresas, con prioridad en los lugares de trabajo de alto riesgo.</w:t>
                            </w:r>
                          </w:p>
                        </w:txbxContent>
                      </wps:txbx>
                      <wps:bodyPr rot="0" vert="horz" wrap="square" lIns="0" tIns="0" rIns="0" bIns="0" anchor="t" anchorCtr="0" upright="1">
                        <a:noAutofit/>
                      </wps:bodyPr>
                    </wps:wsp>
                  </a:graphicData>
                </a:graphic>
              </wp:inline>
            </w:drawing>
          </mc:Choice>
          <mc:Fallback>
            <w:pict>
              <v:shapetype w14:anchorId="0140FAC9" id="_x0000_t202" coordsize="21600,21600" o:spt="202" path="m,l,21600r21600,l21600,xe">
                <v:stroke joinstyle="miter"/>
                <v:path gradientshapeok="t" o:connecttype="rect"/>
              </v:shapetype>
              <v:shape id="Text Box 5" o:spid="_x0000_s1027" type="#_x0000_t202" style="width:478.5pt;height:1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" filled="f" strokeweight=".5pt">
                <v:textbox inset="0,0,0,0">
                  <w:txbxContent>
                    <w:p w14:paraId="3596A70B" w14:textId="77777777" w:rsidR="002207A7" w:rsidRDefault="00915946">
                      <w:pPr>
                        <w:spacing w:before="26" w:line="261" w:lineRule="auto"/>
                        <w:ind w:left="740" w:right="29"/>
                        <w:rPr>
                          <w:rFonts w:ascii="Times New Roman"/>
                          <w:sz w:val="24"/>
                        </w:rPr>
                      </w:pPr>
                      <w:r w:rsidRPr="00915946">
                        <w:rPr>
                          <w:rFonts w:ascii="Times New Roman"/>
                          <w:sz w:val="24"/>
                        </w:rPr>
                        <w:t>Seg</w:t>
                      </w:r>
                      <w:r w:rsidRPr="00915946">
                        <w:rPr>
                          <w:rFonts w:ascii="Times New Roman"/>
                          <w:sz w:val="24"/>
                        </w:rPr>
                        <w:t>ú</w:t>
                      </w:r>
                      <w:r w:rsidRPr="00915946">
                        <w:rPr>
                          <w:rFonts w:ascii="Times New Roman"/>
                          <w:sz w:val="24"/>
                        </w:rPr>
                        <w:t>n la Ley de Seguridad y Salud Ocupacional, los empleadores son responsables de proporcionar un lugar de trabajo seguro y saludable y los trabajadores tienen derechos. OSHA puede ayudar a responder preguntas o inquietudes de empleadores y trabajadores. P</w:t>
                      </w:r>
                      <w:r w:rsidRPr="00915946">
                        <w:rPr>
                          <w:rFonts w:ascii="Times New Roman"/>
                          <w:sz w:val="24"/>
                        </w:rPr>
                        <w:t>ó</w:t>
                      </w:r>
                      <w:r w:rsidRPr="00915946">
                        <w:rPr>
                          <w:rFonts w:ascii="Times New Roman"/>
                          <w:sz w:val="24"/>
                        </w:rPr>
                        <w:t>ngase en contacto con su oficina regional o local de OSHA o llame al 1-800-321-OSHA (6742). OSHA tambi</w:t>
                      </w:r>
                      <w:r w:rsidRPr="00915946">
                        <w:rPr>
                          <w:rFonts w:ascii="Times New Roman"/>
                          <w:sz w:val="24"/>
                        </w:rPr>
                        <w:t>é</w:t>
                      </w:r>
                      <w:r w:rsidRPr="00915946">
                        <w:rPr>
                          <w:rFonts w:ascii="Times New Roman"/>
                          <w:sz w:val="24"/>
                        </w:rPr>
                        <w:t>n brinda ayuda a los empleadores. El Programa de consultas en el sitio de OSHA ofrece asesoramiento gratuito y confidencial a las peque</w:t>
                      </w:r>
                      <w:r w:rsidRPr="00915946">
                        <w:rPr>
                          <w:rFonts w:ascii="Times New Roman"/>
                          <w:sz w:val="24"/>
                        </w:rPr>
                        <w:t>ñ</w:t>
                      </w:r>
                      <w:r w:rsidRPr="00915946">
                        <w:rPr>
                          <w:rFonts w:ascii="Times New Roman"/>
                          <w:sz w:val="24"/>
                        </w:rPr>
                        <w:t>as y medianas empresas, con prioridad en los lugares de trabajo de alto riesgo.</w:t>
                      </w:r>
                    </w:p>
                  </w:txbxContent>
                </v:textbox>
                <w10:anchorlock/>
              </v:shape>
            </w:pict>
          </mc:Fallback>
        </mc:AlternateContent>
      </w:r>
    </w:p>
    <w:p w14:paraId="6F1851EE" w14:textId="77777777" w:rsidR="002207A7" w:rsidRDefault="002207A7">
      <w:pPr>
        <w:pStyle w:val="BodyText"/>
        <w:spacing w:before="2"/>
        <w:rPr>
          <w:sz w:val="12"/>
        </w:rPr>
      </w:pPr>
    </w:p>
    <w:p w14:paraId="130BF739" w14:textId="77777777" w:rsidR="002207A7" w:rsidRDefault="00915946" w:rsidP="00915946">
      <w:pPr>
        <w:pStyle w:val="BodyText"/>
        <w:spacing w:before="128" w:line="184" w:lineRule="auto"/>
        <w:ind w:left="660" w:right="925"/>
        <w:rPr>
          <w:rFonts w:ascii="Lucida Sans Unicode"/>
        </w:rPr>
      </w:pPr>
      <w:r w:rsidRPr="00915946">
        <w:rPr>
          <w:rFonts w:ascii="Lucida Sans Unicode"/>
        </w:rPr>
        <w:t>A trav</w:t>
      </w:r>
      <w:r w:rsidRPr="00915946">
        <w:rPr>
          <w:rFonts w:ascii="Lucida Sans Unicode"/>
        </w:rPr>
        <w:t>é</w:t>
      </w:r>
      <w:r w:rsidRPr="00915946">
        <w:rPr>
          <w:rFonts w:ascii="Lucida Sans Unicode"/>
        </w:rPr>
        <w:t>s de la Alianza OSHA y APCA, APCA desarroll</w:t>
      </w:r>
      <w:r w:rsidRPr="00915946">
        <w:rPr>
          <w:rFonts w:ascii="Lucida Sans Unicode"/>
        </w:rPr>
        <w:t>ó</w:t>
      </w:r>
      <w:r w:rsidRPr="00915946">
        <w:rPr>
          <w:rFonts w:ascii="Lucida Sans Unicode"/>
        </w:rPr>
        <w:t xml:space="preserve"> esta charla de caja de herramientas solo con fines informativos. No necesariamente refleja los puntos de vista oficiales de OSHA o del Departamento de Trabajo de los EE. UU. APCA adapt</w:t>
      </w:r>
      <w:r w:rsidRPr="00915946">
        <w:rPr>
          <w:rFonts w:ascii="Lucida Sans Unicode"/>
        </w:rPr>
        <w:t>ó</w:t>
      </w:r>
      <w:r w:rsidRPr="00915946">
        <w:rPr>
          <w:rFonts w:ascii="Lucida Sans Unicode"/>
        </w:rPr>
        <w:t xml:space="preserve"> esta charla de herramientas desarrollada por el Sealant Waterproofing and Restoration Institute.</w:t>
      </w:r>
    </w:p>
    <w:sectPr w:rsidR="002207A7" w:rsidSect="002532E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9559C"/>
    <w:multiLevelType w:val="hybridMultilevel"/>
    <w:tmpl w:val="F3B07270"/>
    <w:lvl w:ilvl="0" w:tplc="C56085C6">
      <w:numFmt w:val="bullet"/>
      <w:lvlText w:val="•"/>
      <w:lvlJc w:val="left"/>
      <w:pPr>
        <w:ind w:left="920" w:hanging="260"/>
      </w:pPr>
      <w:rPr>
        <w:rFonts w:ascii="Times New Roman" w:eastAsia="Times New Roman" w:hAnsi="Times New Roman" w:cs="Times New Roman" w:hint="default"/>
        <w:color w:val="181717"/>
        <w:spacing w:val="-61"/>
        <w:w w:val="100"/>
        <w:sz w:val="22"/>
        <w:szCs w:val="22"/>
      </w:rPr>
    </w:lvl>
    <w:lvl w:ilvl="1" w:tplc="6EAAC87C">
      <w:numFmt w:val="bullet"/>
      <w:lvlText w:val="•"/>
      <w:lvlJc w:val="left"/>
      <w:pPr>
        <w:ind w:left="920" w:hanging="160"/>
      </w:pPr>
      <w:rPr>
        <w:rFonts w:ascii="Times New Roman" w:eastAsia="Times New Roman" w:hAnsi="Times New Roman" w:cs="Times New Roman" w:hint="default"/>
        <w:color w:val="181717"/>
        <w:spacing w:val="-34"/>
        <w:w w:val="100"/>
        <w:sz w:val="22"/>
        <w:szCs w:val="22"/>
      </w:rPr>
    </w:lvl>
    <w:lvl w:ilvl="2" w:tplc="C4965B16">
      <w:numFmt w:val="bullet"/>
      <w:lvlText w:val="•"/>
      <w:lvlJc w:val="left"/>
      <w:pPr>
        <w:ind w:left="2876" w:hanging="160"/>
      </w:pPr>
      <w:rPr>
        <w:rFonts w:hint="default"/>
      </w:rPr>
    </w:lvl>
    <w:lvl w:ilvl="3" w:tplc="C4A6B658">
      <w:numFmt w:val="bullet"/>
      <w:lvlText w:val="•"/>
      <w:lvlJc w:val="left"/>
      <w:pPr>
        <w:ind w:left="3854" w:hanging="160"/>
      </w:pPr>
      <w:rPr>
        <w:rFonts w:hint="default"/>
      </w:rPr>
    </w:lvl>
    <w:lvl w:ilvl="4" w:tplc="FE2A31FE">
      <w:numFmt w:val="bullet"/>
      <w:lvlText w:val="•"/>
      <w:lvlJc w:val="left"/>
      <w:pPr>
        <w:ind w:left="4832" w:hanging="160"/>
      </w:pPr>
      <w:rPr>
        <w:rFonts w:hint="default"/>
      </w:rPr>
    </w:lvl>
    <w:lvl w:ilvl="5" w:tplc="2EF00A48">
      <w:numFmt w:val="bullet"/>
      <w:lvlText w:val="•"/>
      <w:lvlJc w:val="left"/>
      <w:pPr>
        <w:ind w:left="5810" w:hanging="160"/>
      </w:pPr>
      <w:rPr>
        <w:rFonts w:hint="default"/>
      </w:rPr>
    </w:lvl>
    <w:lvl w:ilvl="6" w:tplc="E9260F5C">
      <w:numFmt w:val="bullet"/>
      <w:lvlText w:val="•"/>
      <w:lvlJc w:val="left"/>
      <w:pPr>
        <w:ind w:left="6788" w:hanging="160"/>
      </w:pPr>
      <w:rPr>
        <w:rFonts w:hint="default"/>
      </w:rPr>
    </w:lvl>
    <w:lvl w:ilvl="7" w:tplc="85720754">
      <w:numFmt w:val="bullet"/>
      <w:lvlText w:val="•"/>
      <w:lvlJc w:val="left"/>
      <w:pPr>
        <w:ind w:left="7766" w:hanging="160"/>
      </w:pPr>
      <w:rPr>
        <w:rFonts w:hint="default"/>
      </w:rPr>
    </w:lvl>
    <w:lvl w:ilvl="8" w:tplc="98C663FE">
      <w:numFmt w:val="bullet"/>
      <w:lvlText w:val="•"/>
      <w:lvlJc w:val="left"/>
      <w:pPr>
        <w:ind w:left="8744" w:hanging="160"/>
      </w:pPr>
      <w:rPr>
        <w:rFonts w:hint="default"/>
      </w:rPr>
    </w:lvl>
  </w:abstractNum>
  <w:abstractNum w:abstractNumId="1" w15:restartNumberingAfterBreak="0">
    <w:nsid w:val="3D63497D"/>
    <w:multiLevelType w:val="hybridMultilevel"/>
    <w:tmpl w:val="0330A482"/>
    <w:lvl w:ilvl="0" w:tplc="6452FCBE">
      <w:numFmt w:val="bullet"/>
      <w:lvlText w:val="•"/>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3E631F6B"/>
    <w:multiLevelType w:val="hybridMultilevel"/>
    <w:tmpl w:val="0FB0456C"/>
    <w:lvl w:ilvl="0" w:tplc="8E920B1A">
      <w:numFmt w:val="bullet"/>
      <w:lvlText w:val=""/>
      <w:lvlJc w:val="left"/>
      <w:pPr>
        <w:ind w:left="450" w:hanging="360"/>
      </w:pPr>
      <w:rPr>
        <w:rFonts w:ascii="Symbol" w:eastAsia="Symbol" w:hAnsi="Symbol" w:cs="Symbol" w:hint="default"/>
        <w:w w:val="100"/>
        <w:position w:val="2"/>
        <w:sz w:val="24"/>
        <w:szCs w:val="24"/>
      </w:rPr>
    </w:lvl>
    <w:lvl w:ilvl="1" w:tplc="6452FCBE">
      <w:numFmt w:val="bullet"/>
      <w:lvlText w:val="•"/>
      <w:lvlJc w:val="left"/>
      <w:pPr>
        <w:ind w:left="832" w:hanging="360"/>
      </w:pPr>
      <w:rPr>
        <w:rFonts w:hint="default"/>
      </w:rPr>
    </w:lvl>
    <w:lvl w:ilvl="2" w:tplc="A43ABFC0">
      <w:numFmt w:val="bullet"/>
      <w:lvlText w:val="•"/>
      <w:lvlJc w:val="left"/>
      <w:pPr>
        <w:ind w:left="1205" w:hanging="360"/>
      </w:pPr>
      <w:rPr>
        <w:rFonts w:hint="default"/>
      </w:rPr>
    </w:lvl>
    <w:lvl w:ilvl="3" w:tplc="BF28F094">
      <w:numFmt w:val="bullet"/>
      <w:lvlText w:val="•"/>
      <w:lvlJc w:val="left"/>
      <w:pPr>
        <w:ind w:left="1577" w:hanging="360"/>
      </w:pPr>
      <w:rPr>
        <w:rFonts w:hint="default"/>
      </w:rPr>
    </w:lvl>
    <w:lvl w:ilvl="4" w:tplc="FEB4C26C">
      <w:numFmt w:val="bullet"/>
      <w:lvlText w:val="•"/>
      <w:lvlJc w:val="left"/>
      <w:pPr>
        <w:ind w:left="1950" w:hanging="360"/>
      </w:pPr>
      <w:rPr>
        <w:rFonts w:hint="default"/>
      </w:rPr>
    </w:lvl>
    <w:lvl w:ilvl="5" w:tplc="1A82427C">
      <w:numFmt w:val="bullet"/>
      <w:lvlText w:val="•"/>
      <w:lvlJc w:val="left"/>
      <w:pPr>
        <w:ind w:left="2322" w:hanging="360"/>
      </w:pPr>
      <w:rPr>
        <w:rFonts w:hint="default"/>
      </w:rPr>
    </w:lvl>
    <w:lvl w:ilvl="6" w:tplc="FCA4B348">
      <w:numFmt w:val="bullet"/>
      <w:lvlText w:val="•"/>
      <w:lvlJc w:val="left"/>
      <w:pPr>
        <w:ind w:left="2695" w:hanging="360"/>
      </w:pPr>
      <w:rPr>
        <w:rFonts w:hint="default"/>
      </w:rPr>
    </w:lvl>
    <w:lvl w:ilvl="7" w:tplc="54EE91E0">
      <w:numFmt w:val="bullet"/>
      <w:lvlText w:val="•"/>
      <w:lvlJc w:val="left"/>
      <w:pPr>
        <w:ind w:left="3067" w:hanging="360"/>
      </w:pPr>
      <w:rPr>
        <w:rFonts w:hint="default"/>
      </w:rPr>
    </w:lvl>
    <w:lvl w:ilvl="8" w:tplc="ADDC6118">
      <w:numFmt w:val="bullet"/>
      <w:lvlText w:val="•"/>
      <w:lvlJc w:val="left"/>
      <w:pPr>
        <w:ind w:left="3440" w:hanging="360"/>
      </w:pPr>
      <w:rPr>
        <w:rFonts w:hint="default"/>
      </w:rPr>
    </w:lvl>
  </w:abstractNum>
  <w:abstractNum w:abstractNumId="3" w15:restartNumberingAfterBreak="0">
    <w:nsid w:val="41B57076"/>
    <w:multiLevelType w:val="hybridMultilevel"/>
    <w:tmpl w:val="6994C0FE"/>
    <w:lvl w:ilvl="0" w:tplc="8C9CC2C4">
      <w:numFmt w:val="bullet"/>
      <w:lvlText w:val=""/>
      <w:lvlJc w:val="left"/>
      <w:pPr>
        <w:ind w:left="450" w:hanging="360"/>
      </w:pPr>
      <w:rPr>
        <w:rFonts w:ascii="Symbol" w:eastAsia="Symbol" w:hAnsi="Symbol" w:cs="Symbol" w:hint="default"/>
        <w:w w:val="100"/>
        <w:position w:val="2"/>
        <w:sz w:val="24"/>
        <w:szCs w:val="24"/>
      </w:rPr>
    </w:lvl>
    <w:lvl w:ilvl="1" w:tplc="79B2FE62">
      <w:numFmt w:val="bullet"/>
      <w:lvlText w:val="•"/>
      <w:lvlJc w:val="left"/>
      <w:pPr>
        <w:ind w:left="832" w:hanging="360"/>
      </w:pPr>
      <w:rPr>
        <w:rFonts w:hint="default"/>
      </w:rPr>
    </w:lvl>
    <w:lvl w:ilvl="2" w:tplc="9FEA4F70">
      <w:numFmt w:val="bullet"/>
      <w:lvlText w:val="•"/>
      <w:lvlJc w:val="left"/>
      <w:pPr>
        <w:ind w:left="1205" w:hanging="360"/>
      </w:pPr>
      <w:rPr>
        <w:rFonts w:hint="default"/>
      </w:rPr>
    </w:lvl>
    <w:lvl w:ilvl="3" w:tplc="FE6297AA">
      <w:numFmt w:val="bullet"/>
      <w:lvlText w:val="•"/>
      <w:lvlJc w:val="left"/>
      <w:pPr>
        <w:ind w:left="1577" w:hanging="360"/>
      </w:pPr>
      <w:rPr>
        <w:rFonts w:hint="default"/>
      </w:rPr>
    </w:lvl>
    <w:lvl w:ilvl="4" w:tplc="E328395E">
      <w:numFmt w:val="bullet"/>
      <w:lvlText w:val="•"/>
      <w:lvlJc w:val="left"/>
      <w:pPr>
        <w:ind w:left="1950" w:hanging="360"/>
      </w:pPr>
      <w:rPr>
        <w:rFonts w:hint="default"/>
      </w:rPr>
    </w:lvl>
    <w:lvl w:ilvl="5" w:tplc="25B86C9C">
      <w:numFmt w:val="bullet"/>
      <w:lvlText w:val="•"/>
      <w:lvlJc w:val="left"/>
      <w:pPr>
        <w:ind w:left="2322" w:hanging="360"/>
      </w:pPr>
      <w:rPr>
        <w:rFonts w:hint="default"/>
      </w:rPr>
    </w:lvl>
    <w:lvl w:ilvl="6" w:tplc="FB324312">
      <w:numFmt w:val="bullet"/>
      <w:lvlText w:val="•"/>
      <w:lvlJc w:val="left"/>
      <w:pPr>
        <w:ind w:left="2695" w:hanging="360"/>
      </w:pPr>
      <w:rPr>
        <w:rFonts w:hint="default"/>
      </w:rPr>
    </w:lvl>
    <w:lvl w:ilvl="7" w:tplc="854AC772">
      <w:numFmt w:val="bullet"/>
      <w:lvlText w:val="•"/>
      <w:lvlJc w:val="left"/>
      <w:pPr>
        <w:ind w:left="3067" w:hanging="360"/>
      </w:pPr>
      <w:rPr>
        <w:rFonts w:hint="default"/>
      </w:rPr>
    </w:lvl>
    <w:lvl w:ilvl="8" w:tplc="DE003DBA">
      <w:numFmt w:val="bullet"/>
      <w:lvlText w:val="•"/>
      <w:lvlJc w:val="left"/>
      <w:pPr>
        <w:ind w:left="3440" w:hanging="360"/>
      </w:pPr>
      <w:rPr>
        <w:rFonts w:hint="default"/>
      </w:rPr>
    </w:lvl>
  </w:abstractNum>
  <w:abstractNum w:abstractNumId="4" w15:restartNumberingAfterBreak="0">
    <w:nsid w:val="5F5506C3"/>
    <w:multiLevelType w:val="hybridMultilevel"/>
    <w:tmpl w:val="4EC2C3E6"/>
    <w:lvl w:ilvl="0" w:tplc="7862CC12">
      <w:start w:val="23"/>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A7"/>
    <w:rsid w:val="002207A7"/>
    <w:rsid w:val="002532ED"/>
    <w:rsid w:val="003663AD"/>
    <w:rsid w:val="00915946"/>
    <w:rsid w:val="0094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DE96091"/>
  <w15:docId w15:val="{A3446A12-3D54-41E2-B318-27675835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0"/>
      <w:ind w:left="6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0" w:hanging="2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5946"/>
    <w:rPr>
      <w:rFonts w:ascii="Tahoma" w:hAnsi="Tahoma" w:cs="Tahoma"/>
      <w:sz w:val="16"/>
      <w:szCs w:val="16"/>
    </w:rPr>
  </w:style>
  <w:style w:type="character" w:customStyle="1" w:styleId="BalloonTextChar">
    <w:name w:val="Balloon Text Char"/>
    <w:basedOn w:val="DefaultParagraphFont"/>
    <w:link w:val="BalloonText"/>
    <w:uiPriority w:val="99"/>
    <w:semiHidden/>
    <w:rsid w:val="00915946"/>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2020-07-01T13:45:00Z</dcterms:created>
  <dcterms:modified xsi:type="dcterms:W3CDTF">2020-07-01T13:45:00Z</dcterms:modified>
</cp:coreProperties>
</file>